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Билет номер 6. Законодательное регулирование информационных отношений, возникающих в сфере цифровых технологий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План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Обзор билета от ChatGPT3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направленность политики РФ в отношении информационных технологий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Вступление к теме информации в правовой сфере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 законодательности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Государственная тайна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Конфиденциальная информация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Ответственность за нарушения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ChatGPT3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#####</w:t>
      </w:r>
    </w:p>
    <w:p w:rsidR="00000000" w:rsidDel="00000000" w:rsidP="00000000" w:rsidRDefault="00000000" w:rsidRPr="00000000" w14:paraId="00000010">
      <w:pP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Законодательное регулирование в этой области является важным аспектом в современном цифровом мире, поскольку он затрагивает множество аспектов, таких как защита данных, кибербезопасность, электронная коммерция, авторское право и другие вопросы, связанные с цифровыми технологиями.</w:t>
      </w:r>
    </w:p>
    <w:p w:rsidR="00000000" w:rsidDel="00000000" w:rsidP="00000000" w:rsidRDefault="00000000" w:rsidRPr="00000000" w14:paraId="00000012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Один из ключевых аспектов</w:t>
      </w:r>
      <w:r w:rsidDel="00000000" w:rsidR="00000000" w:rsidRPr="00000000">
        <w:rPr>
          <w:b w:val="1"/>
          <w:sz w:val="23"/>
          <w:szCs w:val="23"/>
          <w:rtl w:val="0"/>
        </w:rPr>
        <w:t xml:space="preserve"> законодательного регулирования информационных отношений в сфере цифровых технологий -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это защита данных и конфиденциальности.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Законы о защите данных и конфиденциальности</w:t>
      </w:r>
      <w:r w:rsidDel="00000000" w:rsidR="00000000" w:rsidRPr="00000000">
        <w:rPr>
          <w:b w:val="1"/>
          <w:sz w:val="23"/>
          <w:szCs w:val="23"/>
          <w:rtl w:val="0"/>
        </w:rPr>
        <w:t xml:space="preserve"> обязывают организации и предприятия обеспечивать безопасность данных пользователей. Такие законы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устанавливают правила сбора, использования и хранения персональных данных</w:t>
      </w:r>
      <w:r w:rsidDel="00000000" w:rsidR="00000000" w:rsidRPr="00000000">
        <w:rPr>
          <w:b w:val="1"/>
          <w:sz w:val="23"/>
          <w:szCs w:val="23"/>
          <w:rtl w:val="0"/>
        </w:rPr>
        <w:t xml:space="preserve">, а также требования к уведомлению пользователей об использовании их данных.</w:t>
      </w:r>
    </w:p>
    <w:p w:rsidR="00000000" w:rsidDel="00000000" w:rsidP="00000000" w:rsidRDefault="00000000" w:rsidRPr="00000000" w14:paraId="00000014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Кроме того, законодательство в сфере цифровых технологий регулирует вопросы авторского права и интеллектуальной собственности. Оно определяет права авторов на цифровые произведения, правила пользования и распространения цифрового контента, а также меры по борьбе с пиратством и незаконным копированием.</w:t>
      </w:r>
    </w:p>
    <w:p w:rsidR="00000000" w:rsidDel="00000000" w:rsidP="00000000" w:rsidRDefault="00000000" w:rsidRPr="00000000" w14:paraId="00000016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Законы о кибербезопасности</w:t>
      </w:r>
      <w:r w:rsidDel="00000000" w:rsidR="00000000" w:rsidRPr="00000000">
        <w:rPr>
          <w:b w:val="1"/>
          <w:sz w:val="23"/>
          <w:szCs w:val="23"/>
          <w:rtl w:val="0"/>
        </w:rPr>
        <w:t xml:space="preserve"> также имеют важное значение в законодательном регулировании информационных отношений. Они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определяют требования к защите информационных систем от хакерских атак, вирусов и других угроз. Законы обязывают организации и предприятия принимать меры по обеспечению безопасности своих информационных систем и защите конфиденциальности данных пользователей.</w:t>
      </w:r>
    </w:p>
    <w:p w:rsidR="00000000" w:rsidDel="00000000" w:rsidP="00000000" w:rsidRDefault="00000000" w:rsidRPr="00000000" w14:paraId="00000018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Кроме вышеуказанных аспектов, законодательное регулирование информационных отношений также затрагивает вопросы электронной коммерции, электронного подписания, защиты прав потребителей и другие вопросы, связанные с цифровыми технологиями.</w:t>
      </w:r>
    </w:p>
    <w:p w:rsidR="00000000" w:rsidDel="00000000" w:rsidP="00000000" w:rsidRDefault="00000000" w:rsidRPr="00000000" w14:paraId="0000001A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Один из основных законов, регулирующих эту область, является Федеральный закон "О персональных данных". Этот закон устанавливает требования к сбору, хранению, использованию и раскрытию персональных данных.</w:t>
      </w:r>
      <w:r w:rsidDel="00000000" w:rsidR="00000000" w:rsidRPr="00000000">
        <w:rPr>
          <w:b w:val="1"/>
          <w:sz w:val="23"/>
          <w:szCs w:val="23"/>
          <w:rtl w:val="0"/>
        </w:rPr>
        <w:t xml:space="preserve"> В соответствии с законом, субъекты персональных данных имеют право на защиту своих персональных данных и требования к их обработке. Организации, собирающие и обрабатывающие персональные данные, обязаны соблюдать определенные нормы безопасности и конфиденциальности, а также предоставлять информацию о целях обработки данных и правах субъектов. Этот закон регулирует вопросы защиты информации, включая данные, хранимые и передаваемые посредством информационных технологий.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Закон устанавливает требования к защите информационных систем от несанкционированного доступа, вирусов и других угроз. Он также определяет порядок раскрытия информации, требования к обработке и хранению информации, а также правила электронной коммерции и электронной подписи.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#####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Общая направленность политики Российской Федерации в направлении регулирования отношений в сфере информационных технологий: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Из федерального закона от 27.07.2006 N 149-ФЗ "Об информации, информационных технологиях и о защите информации" (с изменениями и дополнениями, вступившими в силу с 01.03.2023)</w:t>
      </w:r>
    </w:p>
    <w:p w:rsidR="00000000" w:rsidDel="00000000" w:rsidP="00000000" w:rsidRDefault="00000000" w:rsidRPr="00000000" w14:paraId="00000022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–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Принципы правового регулирования отношений в сфере информации</w:t>
      </w:r>
      <w:r w:rsidDel="00000000" w:rsidR="00000000" w:rsidRPr="00000000">
        <w:rPr>
          <w:b w:val="1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24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1)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свобода поиска, получения, передачи, производства и распространения информации любым законным способом</w:t>
      </w:r>
      <w:r w:rsidDel="00000000" w:rsidR="00000000" w:rsidRPr="00000000">
        <w:rPr>
          <w:b w:val="1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2) установление ограничений доступа к информации только федеральными законами;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000000" w:rsidDel="00000000" w:rsidP="00000000" w:rsidRDefault="00000000" w:rsidRPr="00000000" w14:paraId="00000028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4) равноправие языков народов Российской Федерации при создании информационных систем и их эксплуатации;</w:t>
      </w:r>
    </w:p>
    <w:p w:rsidR="00000000" w:rsidDel="00000000" w:rsidP="00000000" w:rsidRDefault="00000000" w:rsidRPr="00000000" w14:paraId="00000029">
      <w:pPr>
        <w:ind w:left="720" w:firstLine="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5)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000000" w:rsidDel="00000000" w:rsidP="00000000" w:rsidRDefault="00000000" w:rsidRPr="00000000" w14:paraId="0000002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6) достоверность информации и своевременность ее предоставления;</w:t>
      </w:r>
    </w:p>
    <w:p w:rsidR="00000000" w:rsidDel="00000000" w:rsidP="00000000" w:rsidRDefault="00000000" w:rsidRPr="00000000" w14:paraId="0000002B">
      <w:pPr>
        <w:ind w:left="720" w:firstLine="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7)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неприкосновенность частной жизни, недопустимость сбора, хранения, использования и распространения информации о частной жизни лица без его согласия; </w:t>
      </w:r>
    </w:p>
    <w:p w:rsidR="00000000" w:rsidDel="00000000" w:rsidP="00000000" w:rsidRDefault="00000000" w:rsidRPr="00000000" w14:paraId="0000002C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000000" w:rsidDel="00000000" w:rsidP="00000000" w:rsidRDefault="00000000" w:rsidRPr="00000000" w14:paraId="0000002D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Вступление к теме информации в правовой сфере</w:t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Главные вопросы темы: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Структура и состав законодательства в информационной сфере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Исторические аспекты формирования законодательства о регулировании информационных отношений в России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Правовые режимы информации, защищаемой в интересах личности, общества и государства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Юридическая ответственность за правонарушения в информационной сфере</w:t>
      </w:r>
    </w:p>
    <w:p w:rsidR="00000000" w:rsidDel="00000000" w:rsidP="00000000" w:rsidRDefault="00000000" w:rsidRPr="00000000" w14:paraId="00000036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Для начала дадим свое определение понятию «информация»: федеральным законом об информации и информатизации, такое понятие определяется как “сведения о лицах, предметах, фактах, событиях, явлениях и процессах, независимо от формы их представления”</w:t>
      </w:r>
    </w:p>
    <w:p w:rsidR="00000000" w:rsidDel="00000000" w:rsidP="00000000" w:rsidRDefault="00000000" w:rsidRPr="00000000" w14:paraId="00000038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Для информации свойственны процессы обращения в социальной среде, покуда она удовлетворяет потребностям личности, общества и государства.</w:t>
      </w:r>
      <w:r w:rsidDel="00000000" w:rsidR="00000000" w:rsidRPr="00000000">
        <w:rPr>
          <w:b w:val="1"/>
          <w:sz w:val="23"/>
          <w:szCs w:val="23"/>
          <w:rtl w:val="0"/>
        </w:rPr>
        <w:t xml:space="preserve"> Общепризнанным является отнесение граждан и юридических лиц, в том числе и иностранных, а также государства к субъектам информационных отношений, которые своим поведением воздействуют друг на друга по поводу обращения информации, зафиксированной на материальных носителях, а потому и 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урегулирование таких отношений основывается на контроле продуктов информационных систем, программного обеспечения и средств их распространения.</w:t>
      </w:r>
    </w:p>
    <w:p w:rsidR="00000000" w:rsidDel="00000000" w:rsidP="00000000" w:rsidRDefault="00000000" w:rsidRPr="00000000" w14:paraId="0000003A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Понятие коммерчески важной информации: это информация, участвующая в экономическом обороте и является связующим звеном во всех направлениях деятельности коммерческих организаций.</w:t>
      </w:r>
      <w:r w:rsidDel="00000000" w:rsidR="00000000" w:rsidRPr="00000000">
        <w:rPr>
          <w:b w:val="1"/>
          <w:sz w:val="23"/>
          <w:szCs w:val="23"/>
          <w:rtl w:val="0"/>
        </w:rPr>
        <w:t xml:space="preserve"> Она может относиться к разным сферам, отражать любую сторону деятельности. Такая информация приобрела в рыночной экономике огромную ценность.</w:t>
      </w: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 Ее доля потребления выше всех традиционных продуктов интеллектуальной деятельности. Она способствует производству новых изделий и развитию товарного рынка.</w:t>
      </w:r>
    </w:p>
    <w:p w:rsidR="00000000" w:rsidDel="00000000" w:rsidP="00000000" w:rsidRDefault="00000000" w:rsidRPr="00000000" w14:paraId="0000003C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 законодательности:</w:t>
      </w:r>
    </w:p>
    <w:p w:rsidR="00000000" w:rsidDel="00000000" w:rsidP="00000000" w:rsidRDefault="00000000" w:rsidRPr="00000000" w14:paraId="0000003E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За период после принятия конституции было принято свыше 1000 правовых актов в информационной сфере</w:t>
      </w:r>
      <w:r w:rsidDel="00000000" w:rsidR="00000000" w:rsidRPr="00000000">
        <w:rPr>
          <w:b w:val="1"/>
          <w:sz w:val="23"/>
          <w:szCs w:val="23"/>
          <w:rtl w:val="0"/>
        </w:rPr>
        <w:t xml:space="preserve">, где основополагающими являются: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Свобода информации и равенство субъектов информационных отношений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достоверность, полнота и своевременность отношений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соблюдение требований законности распространения и хранения информации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ограничение доступа к отдельным видам информационных ресурсов, информационная безопасность и защита информации</w:t>
      </w:r>
    </w:p>
    <w:p w:rsidR="00000000" w:rsidDel="00000000" w:rsidP="00000000" w:rsidRDefault="00000000" w:rsidRPr="00000000" w14:paraId="00000044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В таких условиях Кодекс призван конкретизировать конституционное право на информацию в условиях информационного общества и инновационной экономики</w:t>
      </w:r>
      <w:r w:rsidDel="00000000" w:rsidR="00000000" w:rsidRPr="00000000">
        <w:rPr>
          <w:b w:val="1"/>
          <w:sz w:val="23"/>
          <w:szCs w:val="23"/>
          <w:rtl w:val="0"/>
        </w:rPr>
        <w:t xml:space="preserve">, урегулировать общие вопросы оборота информации, а также определить правовой режим информации в публично-правовой и частноправовой сферах. </w:t>
      </w:r>
    </w:p>
    <w:p w:rsidR="00000000" w:rsidDel="00000000" w:rsidP="00000000" w:rsidRDefault="00000000" w:rsidRPr="00000000" w14:paraId="00000046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Для подобного рода собственности свойственно разграничение по правовому режиму и субъектным ограничениям, а именно информация ограниченного доступа разграничивается на “государственные тайны” и “конфиденциальную информацию”</w:t>
      </w:r>
      <w:r w:rsidDel="00000000" w:rsidR="00000000" w:rsidRPr="00000000">
        <w:rPr>
          <w:b w:val="1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8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Государственная тайна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Это в первую очередь защищаемые государством сведения в области его военной, внешнеполитической, экономической, разведывательной, контрразведывательной деятельности, распространение которых может нанести ущерб безопасности РФ.</w:t>
      </w:r>
    </w:p>
    <w:p w:rsidR="00000000" w:rsidDel="00000000" w:rsidP="00000000" w:rsidRDefault="00000000" w:rsidRPr="00000000" w14:paraId="0000004C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Государство в отношении сведений, составляющих государственную тайну, имеет следующие права: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Засекречивать информацию;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Рассекречивать информацию;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Разрешать допуск;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Санкционировать доступ;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Распоряжаться государственной тайной;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Требовать защиты;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b w:val="1"/>
          <w:sz w:val="23"/>
          <w:szCs w:val="23"/>
          <w:highlight w:val="yellow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Привлекать к ответственности.</w:t>
      </w:r>
    </w:p>
    <w:p w:rsidR="00000000" w:rsidDel="00000000" w:rsidP="00000000" w:rsidRDefault="00000000" w:rsidRPr="00000000" w14:paraId="0000005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Конфиденциальная информация</w:t>
      </w:r>
    </w:p>
    <w:p w:rsidR="00000000" w:rsidDel="00000000" w:rsidP="00000000" w:rsidRDefault="00000000" w:rsidRPr="00000000" w14:paraId="00000057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Это уже более частная информация, что разграничивается следующими типами:</w:t>
      </w:r>
    </w:p>
    <w:p w:rsidR="00000000" w:rsidDel="00000000" w:rsidP="00000000" w:rsidRDefault="00000000" w:rsidRPr="00000000" w14:paraId="00000059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Персональные данные</w:t>
      </w:r>
      <w:r w:rsidDel="00000000" w:rsidR="00000000" w:rsidRPr="00000000">
        <w:rPr>
          <w:b w:val="1"/>
          <w:sz w:val="23"/>
          <w:szCs w:val="23"/>
          <w:rtl w:val="0"/>
        </w:rPr>
        <w:t xml:space="preserve"> – любые данные о физлицах, в том числе его ФИО, дата рождения, социальное или семейное положение и т. д.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Сведения, составляющие тайну следствия и судопроизводства</w:t>
      </w:r>
      <w:r w:rsidDel="00000000" w:rsidR="00000000" w:rsidRPr="00000000">
        <w:rPr>
          <w:b w:val="1"/>
          <w:sz w:val="23"/>
          <w:szCs w:val="23"/>
          <w:rtl w:val="0"/>
        </w:rPr>
        <w:t xml:space="preserve"> – запрещается разглашение сведений, полученных в ходе дознания, предварительного следствия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Служебная тайна</w:t>
      </w:r>
      <w:r w:rsidDel="00000000" w:rsidR="00000000" w:rsidRPr="00000000">
        <w:rPr>
          <w:b w:val="1"/>
          <w:sz w:val="23"/>
          <w:szCs w:val="23"/>
          <w:rtl w:val="0"/>
        </w:rPr>
        <w:t xml:space="preserve"> – защищаемая информация, ставшая известной лицу в государственных органах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Профессиональная тайна</w:t>
      </w:r>
      <w:r w:rsidDel="00000000" w:rsidR="00000000" w:rsidRPr="00000000">
        <w:rPr>
          <w:b w:val="1"/>
          <w:sz w:val="23"/>
          <w:szCs w:val="23"/>
          <w:rtl w:val="0"/>
        </w:rPr>
        <w:t xml:space="preserve"> – сведения, связанные с профессиональной деятельностью в соответствии с конституцией и федеральным законом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Информация, составляющая коммерческую тайну</w:t>
      </w:r>
      <w:r w:rsidDel="00000000" w:rsidR="00000000" w:rsidRPr="00000000">
        <w:rPr>
          <w:b w:val="1"/>
          <w:sz w:val="23"/>
          <w:szCs w:val="23"/>
          <w:rtl w:val="0"/>
        </w:rPr>
        <w:t xml:space="preserve"> – сведения, связанные с предпринимательской деятельностью, доступ к которой ограничен в соответствии с гражданским кодексом и федеральными законами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Банковская тайна</w:t>
      </w:r>
      <w:r w:rsidDel="00000000" w:rsidR="00000000" w:rsidRPr="00000000">
        <w:rPr>
          <w:b w:val="1"/>
          <w:sz w:val="23"/>
          <w:szCs w:val="23"/>
          <w:rtl w:val="0"/>
        </w:rPr>
        <w:t xml:space="preserve"> – защищаемая банком и иными кредитными организациями сведения о вкладах своих клиентов.</w:t>
      </w:r>
    </w:p>
    <w:p w:rsidR="00000000" w:rsidDel="00000000" w:rsidP="00000000" w:rsidRDefault="00000000" w:rsidRPr="00000000" w14:paraId="00000060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Ответственность за нарушения:</w:t>
      </w:r>
    </w:p>
    <w:p w:rsidR="00000000" w:rsidDel="00000000" w:rsidP="00000000" w:rsidRDefault="00000000" w:rsidRPr="00000000" w14:paraId="00000062">
      <w:pPr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b w:val="1"/>
          <w:sz w:val="17"/>
          <w:szCs w:val="17"/>
        </w:rPr>
      </w:pPr>
      <w:r w:rsidDel="00000000" w:rsidR="00000000" w:rsidRPr="00000000">
        <w:rPr>
          <w:b w:val="1"/>
          <w:sz w:val="23"/>
          <w:szCs w:val="23"/>
          <w:highlight w:val="yellow"/>
          <w:rtl w:val="0"/>
        </w:rPr>
        <w:t xml:space="preserve">В большинстве своя ответственность наступает в рамках гражданско-правового кодекса в виде возмещения убытков, неустоек и так далее</w:t>
      </w:r>
      <w:r w:rsidDel="00000000" w:rsidR="00000000" w:rsidRPr="00000000">
        <w:rPr>
          <w:b w:val="1"/>
          <w:sz w:val="23"/>
          <w:szCs w:val="23"/>
          <w:rtl w:val="0"/>
        </w:rPr>
        <w:t xml:space="preserve">. Дисциплинарную ответственность несут работники предприятий в соответствии с внутреннего распорядка.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